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/>
          <w:bCs/>
          <w:color w:val="auto"/>
          <w:kern w:val="0"/>
          <w:sz w:val="36"/>
          <w:szCs w:val="36"/>
        </w:rPr>
      </w:pPr>
      <w:r>
        <w:rPr>
          <w:rFonts w:eastAsia="楷体_GB2312"/>
          <w:b/>
          <w:bCs/>
          <w:color w:val="auto"/>
          <w:kern w:val="0"/>
          <w:sz w:val="36"/>
          <w:szCs w:val="36"/>
        </w:rPr>
        <w:t>202</w:t>
      </w:r>
      <w:r>
        <w:rPr>
          <w:rFonts w:hint="eastAsia" w:eastAsia="楷体_GB2312"/>
          <w:b/>
          <w:bCs/>
          <w:color w:val="auto"/>
          <w:kern w:val="0"/>
          <w:sz w:val="36"/>
          <w:szCs w:val="36"/>
        </w:rPr>
        <w:t>2</w:t>
      </w:r>
      <w:r>
        <w:rPr>
          <w:rFonts w:eastAsia="楷体_GB2312"/>
          <w:b/>
          <w:bCs/>
          <w:color w:val="auto"/>
          <w:kern w:val="0"/>
          <w:sz w:val="36"/>
          <w:szCs w:val="36"/>
        </w:rPr>
        <w:t>年</w:t>
      </w:r>
      <w:r>
        <w:rPr>
          <w:rFonts w:hint="eastAsia" w:eastAsia="楷体_GB2312"/>
          <w:b/>
          <w:bCs/>
          <w:color w:val="auto"/>
          <w:kern w:val="0"/>
          <w:sz w:val="36"/>
          <w:szCs w:val="36"/>
        </w:rPr>
        <w:t>湖南省农业农村信息中心</w:t>
      </w:r>
      <w:r>
        <w:rPr>
          <w:rFonts w:eastAsia="楷体_GB2312"/>
          <w:b/>
          <w:bCs/>
          <w:color w:val="auto"/>
          <w:kern w:val="0"/>
          <w:sz w:val="36"/>
          <w:szCs w:val="36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eastAsia="黑体"/>
          <w:bCs/>
          <w:color w:val="auto"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Cs/>
          <w:color w:val="auto"/>
          <w:kern w:val="0"/>
          <w:sz w:val="32"/>
          <w:szCs w:val="32"/>
        </w:rPr>
      </w:pPr>
      <w:r>
        <w:rPr>
          <w:rFonts w:eastAsia="仿宋_GB2312"/>
          <w:b/>
          <w:bCs/>
          <w:color w:val="auto"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color w:val="auto"/>
          <w:kern w:val="0"/>
          <w:sz w:val="32"/>
          <w:szCs w:val="32"/>
        </w:rPr>
        <w:t>2</w:t>
      </w:r>
      <w:r>
        <w:rPr>
          <w:rFonts w:eastAsia="仿宋_GB2312"/>
          <w:b/>
          <w:bCs/>
          <w:color w:val="auto"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color w:val="auto"/>
          <w:kern w:val="0"/>
          <w:sz w:val="32"/>
          <w:szCs w:val="32"/>
        </w:rPr>
        <w:t>2</w:t>
      </w:r>
      <w:r>
        <w:rPr>
          <w:rFonts w:eastAsia="仿宋_GB2312"/>
          <w:b/>
          <w:bCs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b/>
          <w:bCs/>
          <w:color w:val="auto"/>
          <w:kern w:val="0"/>
          <w:sz w:val="32"/>
          <w:szCs w:val="32"/>
        </w:rPr>
        <w:t>单位</w:t>
      </w:r>
      <w:r>
        <w:rPr>
          <w:rFonts w:eastAsia="仿宋_GB2312"/>
          <w:b/>
          <w:bCs/>
          <w:color w:val="auto"/>
          <w:kern w:val="0"/>
          <w:sz w:val="32"/>
          <w:szCs w:val="32"/>
        </w:rPr>
        <w:t>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b/>
          <w:bCs/>
          <w:color w:val="auto"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color w:val="auto"/>
          <w:kern w:val="0"/>
          <w:sz w:val="32"/>
          <w:szCs w:val="32"/>
        </w:rPr>
        <w:t>2</w:t>
      </w:r>
      <w:r>
        <w:rPr>
          <w:rFonts w:eastAsia="仿宋_GB2312"/>
          <w:b/>
          <w:bCs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b/>
          <w:bCs/>
          <w:color w:val="auto"/>
          <w:kern w:val="0"/>
          <w:sz w:val="32"/>
          <w:szCs w:val="32"/>
        </w:rPr>
        <w:t>单位</w:t>
      </w:r>
      <w:r>
        <w:rPr>
          <w:rFonts w:eastAsia="仿宋_GB2312"/>
          <w:b/>
          <w:bCs/>
          <w:color w:val="auto"/>
          <w:kern w:val="0"/>
          <w:sz w:val="32"/>
          <w:szCs w:val="32"/>
        </w:rPr>
        <w:t>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12、一般公共预算基本支出表-</w:t>
      </w:r>
      <w:r>
        <w:rPr>
          <w:rFonts w:hint="eastAsia" w:eastAsia="仿宋_GB2312"/>
          <w:color w:val="auto"/>
          <w:sz w:val="32"/>
          <w:szCs w:val="32"/>
        </w:rPr>
        <w:t>公用</w:t>
      </w:r>
      <w:r>
        <w:rPr>
          <w:rFonts w:eastAsia="仿宋_GB2312"/>
          <w:color w:val="auto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13、一般公共预算基本支出表-</w:t>
      </w:r>
      <w:r>
        <w:rPr>
          <w:rFonts w:hint="eastAsia" w:eastAsia="仿宋_GB2312"/>
          <w:color w:val="auto"/>
          <w:sz w:val="32"/>
          <w:szCs w:val="32"/>
        </w:rPr>
        <w:t>公用</w:t>
      </w:r>
      <w:r>
        <w:rPr>
          <w:rFonts w:eastAsia="仿宋_GB2312"/>
          <w:color w:val="auto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单位</w:t>
      </w:r>
      <w:r>
        <w:rPr>
          <w:rFonts w:eastAsia="仿宋_GB2312"/>
          <w:bCs/>
          <w:color w:val="auto"/>
          <w:kern w:val="0"/>
          <w:sz w:val="32"/>
          <w:szCs w:val="32"/>
        </w:rPr>
        <w:t>预算报表中，空表表示本单位无相关收支情况。</w:t>
      </w:r>
    </w:p>
    <w:p>
      <w:pPr>
        <w:widowControl/>
        <w:jc w:val="left"/>
        <w:rPr>
          <w:rFonts w:eastAsia="方正小标宋_GBK"/>
          <w:bCs/>
          <w:color w:val="auto"/>
          <w:kern w:val="0"/>
          <w:sz w:val="36"/>
          <w:szCs w:val="36"/>
        </w:rPr>
      </w:pPr>
    </w:p>
    <w:p>
      <w:pPr>
        <w:widowControl/>
        <w:jc w:val="left"/>
        <w:rPr>
          <w:rFonts w:eastAsia="方正小标宋_GBK"/>
          <w:bCs/>
          <w:color w:val="auto"/>
          <w:kern w:val="0"/>
          <w:sz w:val="36"/>
          <w:szCs w:val="36"/>
        </w:rPr>
      </w:pPr>
    </w:p>
    <w:p>
      <w:pPr>
        <w:widowControl/>
        <w:jc w:val="left"/>
        <w:rPr>
          <w:rFonts w:eastAsia="方正小标宋_GBK"/>
          <w:bCs/>
          <w:color w:val="auto"/>
          <w:kern w:val="0"/>
          <w:sz w:val="36"/>
          <w:szCs w:val="36"/>
        </w:rPr>
      </w:pPr>
    </w:p>
    <w:p>
      <w:pPr>
        <w:widowControl/>
        <w:jc w:val="left"/>
        <w:rPr>
          <w:rFonts w:eastAsia="方正小标宋_GBK"/>
          <w:bCs/>
          <w:color w:val="auto"/>
          <w:kern w:val="0"/>
          <w:sz w:val="36"/>
          <w:szCs w:val="36"/>
        </w:rPr>
      </w:pPr>
    </w:p>
    <w:p>
      <w:pPr>
        <w:widowControl/>
        <w:jc w:val="left"/>
        <w:rPr>
          <w:rFonts w:eastAsia="方正小标宋_GBK"/>
          <w:bCs/>
          <w:color w:val="auto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color w:val="auto"/>
          <w:kern w:val="0"/>
          <w:sz w:val="36"/>
          <w:szCs w:val="36"/>
        </w:rPr>
      </w:pPr>
      <w:r>
        <w:rPr>
          <w:rFonts w:eastAsia="方正小标宋_GBK"/>
          <w:bCs/>
          <w:color w:val="auto"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color w:val="auto"/>
          <w:kern w:val="0"/>
          <w:sz w:val="36"/>
          <w:szCs w:val="36"/>
        </w:rPr>
        <w:t>2</w:t>
      </w:r>
      <w:r>
        <w:rPr>
          <w:rFonts w:eastAsia="方正小标宋_GBK"/>
          <w:bCs/>
          <w:color w:val="auto"/>
          <w:kern w:val="0"/>
          <w:sz w:val="36"/>
          <w:szCs w:val="36"/>
        </w:rPr>
        <w:t>年</w:t>
      </w:r>
      <w:r>
        <w:rPr>
          <w:rFonts w:hint="eastAsia" w:eastAsia="方正小标宋_GBK"/>
          <w:bCs/>
          <w:color w:val="auto"/>
          <w:kern w:val="0"/>
          <w:sz w:val="36"/>
          <w:szCs w:val="36"/>
        </w:rPr>
        <w:t>单位</w:t>
      </w:r>
      <w:r>
        <w:rPr>
          <w:rFonts w:eastAsia="方正小标宋_GBK"/>
          <w:bCs/>
          <w:color w:val="auto"/>
          <w:kern w:val="0"/>
          <w:sz w:val="36"/>
          <w:szCs w:val="36"/>
        </w:rPr>
        <w:t>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eastAsia="黑体"/>
          <w:bCs/>
          <w:color w:val="auto"/>
          <w:kern w:val="0"/>
          <w:sz w:val="32"/>
          <w:szCs w:val="32"/>
        </w:rPr>
        <w:t>一、</w:t>
      </w:r>
      <w:r>
        <w:rPr>
          <w:rFonts w:hint="eastAsia" w:eastAsia="黑体"/>
          <w:bCs/>
          <w:color w:val="auto"/>
          <w:kern w:val="0"/>
          <w:sz w:val="32"/>
          <w:szCs w:val="32"/>
        </w:rPr>
        <w:t>单位</w:t>
      </w:r>
      <w:r>
        <w:rPr>
          <w:rFonts w:eastAsia="黑体"/>
          <w:bCs/>
          <w:color w:val="auto"/>
          <w:kern w:val="0"/>
          <w:sz w:val="32"/>
          <w:szCs w:val="32"/>
        </w:rPr>
        <w:t>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承办规范全省农业信息化工作,负责全省农业信息网络体系的规划、建设和管理,农业信息入户工程的试点和技术推广;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承办湖南农业信息网的管理与维护,开展网上农业信息服务和电子商务服务;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负责全省农业信息网络应用软件的开发和推广;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负责全省农业信息网络维护和信息化技术培训;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负责厅机关局域网的管理和维护。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（二）机构设置。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湖南省农业农村信息中心设综合科、信息科、网络科、数据科、应用科五个科室。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eastAsia="仿宋_GB2312"/>
          <w:sz w:val="32"/>
          <w:szCs w:val="32"/>
        </w:rPr>
        <w:t>本部门预算仅含</w:t>
      </w:r>
      <w:r>
        <w:rPr>
          <w:rFonts w:hint="eastAsia" w:eastAsia="仿宋_GB2312"/>
          <w:sz w:val="32"/>
          <w:szCs w:val="32"/>
          <w:lang w:val="en-US" w:eastAsia="zh-CN"/>
        </w:rPr>
        <w:t>湖南省农业农村信息中心</w:t>
      </w:r>
      <w:bookmarkStart w:id="1" w:name="_GoBack"/>
      <w:bookmarkEnd w:id="1"/>
      <w:r>
        <w:rPr>
          <w:rFonts w:eastAsia="仿宋_GB2312"/>
          <w:sz w:val="32"/>
          <w:szCs w:val="32"/>
        </w:rPr>
        <w:t>本级预算。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hint="eastAsia" w:eastAsia="黑体"/>
          <w:bCs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eastAsia="黑体"/>
          <w:bCs/>
          <w:color w:val="auto"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（一）收入预算：</w:t>
      </w:r>
      <w:r>
        <w:rPr>
          <w:rFonts w:eastAsia="仿宋_GB2312"/>
          <w:color w:val="auto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年本单位收入预算1796.56万元，其中，一般公共预算拨款552.32万元，政府性基金预算拨款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万元，国有资本经营预算拨款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万元，纳入专户管理的非税收入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</w:t>
      </w:r>
      <w:r>
        <w:rPr>
          <w:rFonts w:hint="eastAsia" w:eastAsia="仿宋_GB2312"/>
          <w:color w:val="auto"/>
          <w:sz w:val="32"/>
          <w:szCs w:val="32"/>
        </w:rPr>
        <w:t>，上年结转结余</w:t>
      </w:r>
      <w:r>
        <w:rPr>
          <w:rFonts w:eastAsia="仿宋_GB2312"/>
          <w:color w:val="auto"/>
          <w:sz w:val="32"/>
          <w:szCs w:val="32"/>
        </w:rPr>
        <w:t>1244.24</w:t>
      </w:r>
      <w:r>
        <w:rPr>
          <w:rFonts w:hint="eastAsia" w:eastAsia="仿宋_GB2312"/>
          <w:color w:val="auto"/>
          <w:sz w:val="32"/>
          <w:szCs w:val="32"/>
        </w:rPr>
        <w:t>万元</w:t>
      </w:r>
      <w:r>
        <w:rPr>
          <w:rFonts w:eastAsia="仿宋_GB2312"/>
          <w:color w:val="auto"/>
          <w:sz w:val="32"/>
          <w:szCs w:val="32"/>
        </w:rPr>
        <w:t>。收入较去年</w:t>
      </w:r>
      <w:r>
        <w:rPr>
          <w:rFonts w:hint="eastAsia" w:eastAsia="仿宋_GB2312"/>
          <w:color w:val="auto"/>
          <w:sz w:val="32"/>
          <w:szCs w:val="32"/>
        </w:rPr>
        <w:t>减少431.37</w:t>
      </w:r>
      <w:r>
        <w:rPr>
          <w:rFonts w:eastAsia="仿宋_GB2312"/>
          <w:color w:val="auto"/>
          <w:sz w:val="32"/>
          <w:szCs w:val="32"/>
        </w:rPr>
        <w:t>万元，主要是</w:t>
      </w:r>
      <w:r>
        <w:rPr>
          <w:rFonts w:hint="eastAsia" w:eastAsia="仿宋_GB2312"/>
          <w:color w:val="auto"/>
          <w:sz w:val="32"/>
          <w:szCs w:val="32"/>
        </w:rPr>
        <w:t>减少了专项资金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（二）支出预算：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年本单位支出预算</w:t>
      </w:r>
      <w:r>
        <w:rPr>
          <w:rFonts w:hint="eastAsia" w:eastAsia="仿宋_GB2312"/>
          <w:color w:val="auto"/>
          <w:sz w:val="32"/>
          <w:szCs w:val="32"/>
        </w:rPr>
        <w:t>1796.56</w:t>
      </w:r>
      <w:r>
        <w:rPr>
          <w:rFonts w:eastAsia="仿宋_GB2312"/>
          <w:color w:val="auto"/>
          <w:sz w:val="32"/>
          <w:szCs w:val="32"/>
        </w:rPr>
        <w:t>万元，其中，</w:t>
      </w:r>
      <w:r>
        <w:rPr>
          <w:rFonts w:hint="eastAsia" w:eastAsia="仿宋_GB2312"/>
          <w:color w:val="auto"/>
          <w:sz w:val="32"/>
          <w:szCs w:val="32"/>
        </w:rPr>
        <w:t>社会保障和就业支出15.20</w:t>
      </w:r>
      <w:r>
        <w:rPr>
          <w:rFonts w:eastAsia="仿宋_GB2312"/>
          <w:color w:val="auto"/>
          <w:sz w:val="32"/>
          <w:szCs w:val="32"/>
        </w:rPr>
        <w:t>万元，</w:t>
      </w:r>
      <w:r>
        <w:rPr>
          <w:rFonts w:hint="eastAsia" w:eastAsia="仿宋_GB2312"/>
          <w:color w:val="auto"/>
          <w:sz w:val="32"/>
          <w:szCs w:val="32"/>
        </w:rPr>
        <w:t>农林水支出</w:t>
      </w:r>
      <w:r>
        <w:rPr>
          <w:rFonts w:eastAsia="仿宋_GB2312"/>
          <w:color w:val="auto"/>
          <w:sz w:val="32"/>
          <w:szCs w:val="32"/>
        </w:rPr>
        <w:t>1781.3</w:t>
      </w:r>
      <w:r>
        <w:rPr>
          <w:rFonts w:hint="eastAsia" w:eastAsia="仿宋_GB2312"/>
          <w:color w:val="auto"/>
          <w:sz w:val="32"/>
          <w:szCs w:val="32"/>
        </w:rPr>
        <w:t>7</w:t>
      </w:r>
      <w:r>
        <w:rPr>
          <w:rFonts w:eastAsia="仿宋_GB2312"/>
          <w:color w:val="auto"/>
          <w:sz w:val="32"/>
          <w:szCs w:val="32"/>
        </w:rPr>
        <w:t>万元。支出较去年</w:t>
      </w:r>
      <w:r>
        <w:rPr>
          <w:rFonts w:hint="eastAsia" w:eastAsia="仿宋_GB2312"/>
          <w:color w:val="auto"/>
          <w:sz w:val="32"/>
          <w:szCs w:val="32"/>
        </w:rPr>
        <w:t>减少431.37</w:t>
      </w:r>
      <w:r>
        <w:rPr>
          <w:rFonts w:eastAsia="仿宋_GB2312"/>
          <w:color w:val="auto"/>
          <w:sz w:val="32"/>
          <w:szCs w:val="32"/>
        </w:rPr>
        <w:t>万元，主要是</w:t>
      </w:r>
      <w:r>
        <w:rPr>
          <w:rFonts w:hint="eastAsia" w:eastAsia="仿宋_GB2312"/>
          <w:color w:val="auto"/>
          <w:sz w:val="32"/>
          <w:szCs w:val="32"/>
        </w:rPr>
        <w:t>减少了专项资金支出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四</w:t>
      </w:r>
      <w:r>
        <w:rPr>
          <w:rFonts w:eastAsia="黑体"/>
          <w:color w:val="auto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年本单位一般公共预算拨款支出预算</w:t>
      </w:r>
      <w:r>
        <w:rPr>
          <w:rFonts w:hint="eastAsia" w:eastAsia="仿宋_GB2312"/>
          <w:color w:val="auto"/>
          <w:sz w:val="32"/>
          <w:szCs w:val="32"/>
        </w:rPr>
        <w:t>1796.56</w:t>
      </w:r>
      <w:r>
        <w:rPr>
          <w:rFonts w:eastAsia="仿宋_GB2312"/>
          <w:color w:val="auto"/>
          <w:sz w:val="32"/>
          <w:szCs w:val="32"/>
        </w:rPr>
        <w:t>万元，其中</w:t>
      </w:r>
      <w:r>
        <w:rPr>
          <w:rFonts w:hint="eastAsia" w:eastAsia="仿宋_GB2312"/>
          <w:color w:val="auto"/>
          <w:sz w:val="32"/>
          <w:szCs w:val="32"/>
        </w:rPr>
        <w:t>，社会保障和就业支出15.20</w:t>
      </w:r>
      <w:r>
        <w:rPr>
          <w:rFonts w:eastAsia="仿宋_GB2312"/>
          <w:color w:val="auto"/>
          <w:sz w:val="32"/>
          <w:szCs w:val="32"/>
        </w:rPr>
        <w:t>万元，占</w:t>
      </w:r>
      <w:r>
        <w:rPr>
          <w:rFonts w:hint="eastAsia" w:eastAsia="仿宋_GB2312"/>
          <w:color w:val="auto"/>
          <w:sz w:val="32"/>
          <w:szCs w:val="32"/>
        </w:rPr>
        <w:t>0.85</w:t>
      </w:r>
      <w:r>
        <w:rPr>
          <w:rFonts w:eastAsia="仿宋_GB2312"/>
          <w:color w:val="auto"/>
          <w:sz w:val="32"/>
          <w:szCs w:val="32"/>
        </w:rPr>
        <w:t xml:space="preserve"> %；</w:t>
      </w:r>
      <w:r>
        <w:rPr>
          <w:rFonts w:hint="eastAsia" w:eastAsia="仿宋_GB2312"/>
          <w:color w:val="auto"/>
          <w:sz w:val="32"/>
          <w:szCs w:val="32"/>
        </w:rPr>
        <w:t>农林水支出1781.36</w:t>
      </w:r>
      <w:r>
        <w:rPr>
          <w:rFonts w:eastAsia="仿宋_GB2312"/>
          <w:color w:val="auto"/>
          <w:sz w:val="32"/>
          <w:szCs w:val="32"/>
        </w:rPr>
        <w:t>万元，占</w:t>
      </w:r>
      <w:r>
        <w:rPr>
          <w:rFonts w:hint="eastAsia" w:eastAsia="仿宋_GB2312"/>
          <w:color w:val="auto"/>
          <w:sz w:val="32"/>
          <w:szCs w:val="32"/>
        </w:rPr>
        <w:t>99.15</w:t>
      </w:r>
      <w:r>
        <w:rPr>
          <w:rFonts w:eastAsia="仿宋_GB2312"/>
          <w:color w:val="auto"/>
          <w:sz w:val="32"/>
          <w:szCs w:val="32"/>
        </w:rPr>
        <w:t xml:space="preserve"> 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（一）基本支出：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年本单位基本支出预算数218.32万元，主要是为保障单位机构正常运转、完成日常工作任务而发生的各项支出，包括用于基本工资、津贴补贴等人员经费以及办公费、印刷费、水电费、办公设备购置等公用经费。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（二）项目支出：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 xml:space="preserve">年本单位项目支出预算1578.24万元，主要是部门为完成特定行政工作任务或事业发展目标而发生的支出，包括有关事业发展专项、专项业务费、基本建设支出等，其中： </w:t>
      </w:r>
      <w:r>
        <w:rPr>
          <w:rFonts w:hint="eastAsia" w:eastAsia="仿宋_GB2312"/>
          <w:color w:val="auto"/>
          <w:sz w:val="32"/>
          <w:szCs w:val="32"/>
        </w:rPr>
        <w:t>运行维护（12316运行维护）</w:t>
      </w:r>
      <w:r>
        <w:rPr>
          <w:rFonts w:eastAsia="仿宋_GB2312"/>
          <w:color w:val="auto"/>
          <w:sz w:val="32"/>
          <w:szCs w:val="32"/>
        </w:rPr>
        <w:t>支出</w:t>
      </w:r>
      <w:r>
        <w:rPr>
          <w:rFonts w:hint="eastAsia" w:eastAsia="仿宋_GB2312"/>
          <w:color w:val="auto"/>
          <w:sz w:val="32"/>
          <w:szCs w:val="32"/>
        </w:rPr>
        <w:t>166.66</w:t>
      </w:r>
      <w:r>
        <w:rPr>
          <w:rFonts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</w:rPr>
        <w:t>12316平台运行维护、知识库建设</w:t>
      </w:r>
      <w:r>
        <w:rPr>
          <w:rFonts w:eastAsia="仿宋_GB2312"/>
          <w:color w:val="auto"/>
          <w:sz w:val="32"/>
          <w:szCs w:val="32"/>
        </w:rPr>
        <w:t>等方面；事业发展专项</w:t>
      </w:r>
      <w:r>
        <w:rPr>
          <w:rFonts w:hint="eastAsia" w:eastAsia="仿宋_GB2312"/>
          <w:color w:val="auto"/>
          <w:sz w:val="32"/>
          <w:szCs w:val="32"/>
        </w:rPr>
        <w:t>（一化四体系与三产融合）</w:t>
      </w:r>
      <w:r>
        <w:rPr>
          <w:rFonts w:eastAsia="仿宋_GB2312"/>
          <w:color w:val="auto"/>
          <w:sz w:val="32"/>
          <w:szCs w:val="32"/>
        </w:rPr>
        <w:t>支出759.79万元，主要</w:t>
      </w:r>
      <w:r>
        <w:rPr>
          <w:rFonts w:hint="eastAsia" w:eastAsia="仿宋_GB2312"/>
          <w:color w:val="auto"/>
          <w:sz w:val="32"/>
          <w:szCs w:val="32"/>
        </w:rPr>
        <w:t>用于渔政监管信息化电力系统、农业农村卫星遥感数据中心等系统建设，全省农业农村视频会议系统运维等</w:t>
      </w:r>
      <w:r>
        <w:rPr>
          <w:rFonts w:eastAsia="仿宋_GB2312"/>
          <w:color w:val="auto"/>
          <w:sz w:val="32"/>
          <w:szCs w:val="32"/>
        </w:rPr>
        <w:t>方面；事业发展专项</w:t>
      </w:r>
      <w:r>
        <w:rPr>
          <w:rFonts w:hint="eastAsia" w:eastAsia="仿宋_GB2312"/>
          <w:color w:val="auto"/>
          <w:sz w:val="32"/>
          <w:szCs w:val="32"/>
        </w:rPr>
        <w:t>（湖南“湘九味”中药材产业集群）</w:t>
      </w:r>
      <w:r>
        <w:rPr>
          <w:rFonts w:eastAsia="仿宋_GB2312"/>
          <w:color w:val="auto"/>
          <w:sz w:val="32"/>
          <w:szCs w:val="32"/>
        </w:rPr>
        <w:t>支出281.92万元，主要用于</w:t>
      </w:r>
      <w:r>
        <w:rPr>
          <w:rFonts w:hint="eastAsia" w:eastAsia="仿宋_GB2312"/>
          <w:color w:val="auto"/>
          <w:sz w:val="32"/>
          <w:szCs w:val="32"/>
        </w:rPr>
        <w:t>“湘九味”中药材产业集群信息系统软件开发、运维、设备购置</w:t>
      </w:r>
      <w:r>
        <w:rPr>
          <w:rFonts w:eastAsia="仿宋_GB2312"/>
          <w:color w:val="auto"/>
          <w:sz w:val="32"/>
          <w:szCs w:val="32"/>
        </w:rPr>
        <w:t>等方面；事业发展专项</w:t>
      </w:r>
      <w:r>
        <w:rPr>
          <w:rFonts w:hint="eastAsia" w:eastAsia="仿宋_GB2312"/>
          <w:color w:val="auto"/>
          <w:sz w:val="32"/>
          <w:szCs w:val="32"/>
        </w:rPr>
        <w:t>（湖南“五彩湘茶”产业集群）</w:t>
      </w:r>
      <w:r>
        <w:rPr>
          <w:rFonts w:eastAsia="仿宋_GB2312"/>
          <w:color w:val="auto"/>
          <w:sz w:val="32"/>
          <w:szCs w:val="32"/>
        </w:rPr>
        <w:t>支出185.87万元，主要用于</w:t>
      </w:r>
      <w:r>
        <w:rPr>
          <w:rFonts w:hint="eastAsia" w:eastAsia="仿宋_GB2312"/>
          <w:color w:val="auto"/>
          <w:sz w:val="32"/>
          <w:szCs w:val="32"/>
        </w:rPr>
        <w:t>全省农业优势特色产业集群基础平台和“五彩湘茶”产业集群信息系统软件开发、运维、设备购置</w:t>
      </w:r>
      <w:r>
        <w:rPr>
          <w:rFonts w:eastAsia="仿宋_GB2312"/>
          <w:color w:val="auto"/>
          <w:sz w:val="32"/>
          <w:szCs w:val="32"/>
        </w:rPr>
        <w:t>等方面；事业发展专项</w:t>
      </w:r>
      <w:r>
        <w:rPr>
          <w:rFonts w:hint="eastAsia" w:eastAsia="仿宋_GB2312"/>
          <w:color w:val="auto"/>
          <w:sz w:val="32"/>
          <w:szCs w:val="32"/>
        </w:rPr>
        <w:t>（现代农业发展）</w:t>
      </w:r>
      <w:r>
        <w:rPr>
          <w:rFonts w:eastAsia="仿宋_GB2312"/>
          <w:color w:val="auto"/>
          <w:sz w:val="32"/>
          <w:szCs w:val="32"/>
        </w:rPr>
        <w:t>支出</w:t>
      </w:r>
      <w:r>
        <w:rPr>
          <w:rFonts w:hint="eastAsia" w:eastAsia="仿宋_GB2312"/>
          <w:color w:val="auto"/>
          <w:sz w:val="32"/>
          <w:szCs w:val="32"/>
        </w:rPr>
        <w:t>180</w:t>
      </w:r>
      <w:r>
        <w:rPr>
          <w:rFonts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</w:rPr>
        <w:t>厅系统网络基础运维、安全运维、网络设备购置等</w:t>
      </w:r>
      <w:r>
        <w:rPr>
          <w:rFonts w:eastAsia="仿宋_GB2312"/>
          <w:color w:val="auto"/>
          <w:sz w:val="32"/>
          <w:szCs w:val="32"/>
        </w:rPr>
        <w:t>方面；事业发展专项</w:t>
      </w:r>
      <w:r>
        <w:rPr>
          <w:rFonts w:hint="eastAsia" w:eastAsia="仿宋_GB2312"/>
          <w:color w:val="auto"/>
          <w:sz w:val="32"/>
          <w:szCs w:val="32"/>
        </w:rPr>
        <w:t>（早稻集中育秧督导指导）</w:t>
      </w:r>
      <w:r>
        <w:rPr>
          <w:rFonts w:eastAsia="仿宋_GB2312"/>
          <w:color w:val="auto"/>
          <w:sz w:val="32"/>
          <w:szCs w:val="32"/>
        </w:rPr>
        <w:t>支出</w:t>
      </w:r>
      <w:r>
        <w:rPr>
          <w:rFonts w:hint="eastAsia" w:eastAsia="仿宋_GB2312"/>
          <w:color w:val="auto"/>
          <w:sz w:val="32"/>
          <w:szCs w:val="32"/>
        </w:rPr>
        <w:t>4</w:t>
      </w:r>
      <w:r>
        <w:rPr>
          <w:rFonts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</w:rPr>
        <w:t>指导督导益阳市资阳区落实21.9万亩早稻集中育秧目标任务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五</w:t>
      </w:r>
      <w:r>
        <w:rPr>
          <w:rFonts w:eastAsia="黑体"/>
          <w:color w:val="auto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b/>
          <w:color w:val="auto"/>
          <w:sz w:val="32"/>
          <w:szCs w:val="32"/>
        </w:rPr>
      </w:pPr>
      <w:r>
        <w:rPr>
          <w:rFonts w:eastAsia="仿宋_GB2312"/>
          <w:b/>
          <w:color w:val="auto"/>
          <w:sz w:val="32"/>
          <w:szCs w:val="32"/>
        </w:rPr>
        <w:t>本</w:t>
      </w:r>
      <w:r>
        <w:rPr>
          <w:rFonts w:hint="eastAsia" w:eastAsia="仿宋_GB2312"/>
          <w:b/>
          <w:color w:val="auto"/>
          <w:sz w:val="32"/>
          <w:szCs w:val="32"/>
        </w:rPr>
        <w:t>单位2022年</w:t>
      </w:r>
      <w:r>
        <w:rPr>
          <w:rFonts w:eastAsia="仿宋_GB2312"/>
          <w:b/>
          <w:color w:val="auto"/>
          <w:sz w:val="32"/>
          <w:szCs w:val="32"/>
        </w:rPr>
        <w:t>无政府性基金安排的支出</w:t>
      </w:r>
    </w:p>
    <w:p>
      <w:pPr>
        <w:widowControl/>
        <w:spacing w:line="600" w:lineRule="exact"/>
        <w:ind w:firstLine="660"/>
        <w:jc w:val="lef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六</w:t>
      </w:r>
      <w:r>
        <w:rPr>
          <w:rFonts w:eastAsia="黑体"/>
          <w:color w:val="auto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（一）机关运行经费：</w:t>
      </w:r>
      <w:r>
        <w:rPr>
          <w:rFonts w:hint="eastAsia" w:eastAsia="仿宋_GB2312"/>
          <w:color w:val="auto"/>
          <w:sz w:val="32"/>
          <w:szCs w:val="32"/>
        </w:rPr>
        <w:t xml:space="preserve"> 2</w:t>
      </w:r>
      <w:r>
        <w:rPr>
          <w:rFonts w:eastAsia="仿宋_GB2312"/>
          <w:color w:val="auto"/>
          <w:sz w:val="32"/>
          <w:szCs w:val="32"/>
        </w:rPr>
        <w:t>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年本单位机关运行经费</w:t>
      </w:r>
      <w:r>
        <w:rPr>
          <w:rFonts w:hint="eastAsia" w:eastAsia="仿宋_GB2312"/>
          <w:color w:val="auto"/>
          <w:sz w:val="32"/>
          <w:szCs w:val="32"/>
        </w:rPr>
        <w:t>10.55</w:t>
      </w:r>
      <w:r>
        <w:rPr>
          <w:rFonts w:eastAsia="仿宋_GB2312"/>
          <w:color w:val="auto"/>
          <w:sz w:val="32"/>
          <w:szCs w:val="32"/>
        </w:rPr>
        <w:t>万元，比上年预算增加</w:t>
      </w:r>
      <w:r>
        <w:rPr>
          <w:rFonts w:hint="eastAsia" w:eastAsia="仿宋_GB2312"/>
          <w:color w:val="auto"/>
          <w:sz w:val="32"/>
          <w:szCs w:val="32"/>
        </w:rPr>
        <w:t>10.55</w:t>
      </w:r>
      <w:r>
        <w:rPr>
          <w:rFonts w:eastAsia="仿宋_GB2312"/>
          <w:color w:val="auto"/>
          <w:sz w:val="32"/>
          <w:szCs w:val="32"/>
        </w:rPr>
        <w:t>万元，上升</w:t>
      </w:r>
      <w:r>
        <w:rPr>
          <w:rFonts w:hint="eastAsia" w:eastAsia="仿宋_GB2312"/>
          <w:color w:val="auto"/>
          <w:sz w:val="32"/>
          <w:szCs w:val="32"/>
        </w:rPr>
        <w:t>100</w:t>
      </w:r>
      <w:r>
        <w:rPr>
          <w:rFonts w:eastAsia="仿宋_GB2312"/>
          <w:color w:val="auto"/>
          <w:sz w:val="32"/>
          <w:szCs w:val="32"/>
        </w:rPr>
        <w:t xml:space="preserve"> %，主要是</w:t>
      </w:r>
      <w:r>
        <w:rPr>
          <w:rFonts w:hint="eastAsia" w:eastAsia="仿宋_GB2312"/>
          <w:color w:val="auto"/>
          <w:sz w:val="32"/>
          <w:szCs w:val="32"/>
        </w:rPr>
        <w:t>上年度因基本支出预算不足，未在基本支出里编制运行经费预算</w:t>
      </w:r>
      <w:r>
        <w:rPr>
          <w:rFonts w:eastAsia="仿宋_GB2312"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</w:rPr>
        <w:t>2022年主要编列了工会经费、办公费、邮电费等。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（二）“三公”经费预算：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年本单位“三公”经费预算数为</w:t>
      </w:r>
      <w:r>
        <w:rPr>
          <w:rFonts w:hint="eastAsia" w:eastAsia="仿宋_GB2312"/>
          <w:color w:val="auto"/>
          <w:sz w:val="32"/>
          <w:szCs w:val="32"/>
        </w:rPr>
        <w:t>9.4</w:t>
      </w:r>
      <w:r>
        <w:rPr>
          <w:rFonts w:eastAsia="仿宋_GB2312"/>
          <w:color w:val="auto"/>
          <w:sz w:val="32"/>
          <w:szCs w:val="32"/>
        </w:rPr>
        <w:t>万元，其中，公务接待费</w:t>
      </w:r>
      <w:r>
        <w:rPr>
          <w:rFonts w:hint="eastAsia" w:eastAsia="仿宋_GB2312"/>
          <w:color w:val="auto"/>
          <w:sz w:val="32"/>
          <w:szCs w:val="32"/>
        </w:rPr>
        <w:t>3.4</w:t>
      </w:r>
      <w:r>
        <w:rPr>
          <w:rFonts w:eastAsia="仿宋_GB2312"/>
          <w:color w:val="auto"/>
          <w:sz w:val="32"/>
          <w:szCs w:val="32"/>
        </w:rPr>
        <w:t>万元，公务用车购置及运行费</w:t>
      </w:r>
      <w:r>
        <w:rPr>
          <w:rFonts w:hint="eastAsia" w:eastAsia="仿宋_GB2312"/>
          <w:color w:val="auto"/>
          <w:sz w:val="32"/>
          <w:szCs w:val="32"/>
        </w:rPr>
        <w:t>1</w:t>
      </w:r>
      <w:r>
        <w:rPr>
          <w:rFonts w:eastAsia="仿宋_GB2312"/>
          <w:color w:val="auto"/>
          <w:sz w:val="32"/>
          <w:szCs w:val="32"/>
        </w:rPr>
        <w:t>万元（其中，公务用车购置费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万元，公务用车运行费</w:t>
      </w:r>
      <w:r>
        <w:rPr>
          <w:rFonts w:hint="eastAsia" w:eastAsia="仿宋_GB2312"/>
          <w:color w:val="auto"/>
          <w:sz w:val="32"/>
          <w:szCs w:val="32"/>
        </w:rPr>
        <w:t>1</w:t>
      </w:r>
      <w:r>
        <w:rPr>
          <w:rFonts w:eastAsia="仿宋_GB2312"/>
          <w:color w:val="auto"/>
          <w:sz w:val="32"/>
          <w:szCs w:val="32"/>
        </w:rPr>
        <w:t>万元），因公出国（境）费</w:t>
      </w:r>
      <w:r>
        <w:rPr>
          <w:rFonts w:hint="eastAsia" w:eastAsia="仿宋_GB2312"/>
          <w:color w:val="auto"/>
          <w:sz w:val="32"/>
          <w:szCs w:val="32"/>
        </w:rPr>
        <w:t>5</w:t>
      </w:r>
      <w:r>
        <w:rPr>
          <w:rFonts w:eastAsia="仿宋_GB2312"/>
          <w:color w:val="auto"/>
          <w:sz w:val="32"/>
          <w:szCs w:val="32"/>
        </w:rPr>
        <w:t>万元。202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年“三公”经费预算较上年增加</w:t>
      </w:r>
      <w:r>
        <w:rPr>
          <w:rFonts w:hint="eastAsia" w:eastAsia="仿宋_GB2312"/>
          <w:color w:val="auto"/>
          <w:sz w:val="32"/>
          <w:szCs w:val="32"/>
        </w:rPr>
        <w:t>4.9</w:t>
      </w:r>
      <w:r>
        <w:rPr>
          <w:rFonts w:eastAsia="仿宋_GB2312"/>
          <w:color w:val="auto"/>
          <w:sz w:val="32"/>
          <w:szCs w:val="32"/>
        </w:rPr>
        <w:t>万元，主要是</w:t>
      </w:r>
      <w:r>
        <w:rPr>
          <w:rFonts w:hint="eastAsia" w:eastAsia="仿宋_GB2312"/>
          <w:color w:val="auto"/>
          <w:sz w:val="32"/>
          <w:szCs w:val="32"/>
        </w:rPr>
        <w:t>上年度没有编列因公出国（境）费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（三）一般性支出情况</w:t>
      </w:r>
      <w:r>
        <w:rPr>
          <w:rFonts w:eastAsia="仿宋_GB2312"/>
          <w:color w:val="auto"/>
          <w:sz w:val="32"/>
          <w:szCs w:val="32"/>
        </w:rPr>
        <w:t>：202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>年本单位会议费预算</w:t>
      </w:r>
      <w:r>
        <w:rPr>
          <w:rFonts w:hint="eastAsia" w:eastAsia="仿宋_GB2312"/>
          <w:color w:val="auto"/>
          <w:sz w:val="32"/>
          <w:szCs w:val="32"/>
        </w:rPr>
        <w:t>5</w:t>
      </w:r>
      <w:r>
        <w:rPr>
          <w:rFonts w:eastAsia="仿宋_GB2312"/>
          <w:color w:val="auto"/>
          <w:sz w:val="32"/>
          <w:szCs w:val="32"/>
        </w:rPr>
        <w:t>万元，</w:t>
      </w:r>
      <w:r>
        <w:rPr>
          <w:rFonts w:eastAsia="仿宋_GB2312"/>
          <w:color w:val="auto"/>
          <w:kern w:val="0"/>
          <w:sz w:val="32"/>
          <w:szCs w:val="32"/>
        </w:rPr>
        <w:t>拟召开</w:t>
      </w:r>
      <w:r>
        <w:rPr>
          <w:rFonts w:hint="eastAsia" w:eastAsia="仿宋_GB2312"/>
          <w:color w:val="auto"/>
          <w:sz w:val="32"/>
          <w:szCs w:val="32"/>
        </w:rPr>
        <w:t>1次</w:t>
      </w:r>
      <w:r>
        <w:rPr>
          <w:rFonts w:eastAsia="仿宋_GB2312"/>
          <w:color w:val="auto"/>
          <w:sz w:val="32"/>
          <w:szCs w:val="32"/>
        </w:rPr>
        <w:t>会议，人数</w:t>
      </w:r>
      <w:r>
        <w:rPr>
          <w:rFonts w:hint="eastAsia" w:eastAsia="仿宋_GB2312"/>
          <w:color w:val="auto"/>
          <w:sz w:val="32"/>
          <w:szCs w:val="32"/>
        </w:rPr>
        <w:t>100</w:t>
      </w:r>
      <w:r>
        <w:rPr>
          <w:rFonts w:eastAsia="仿宋_GB2312"/>
          <w:color w:val="auto"/>
          <w:sz w:val="32"/>
          <w:szCs w:val="32"/>
        </w:rPr>
        <w:t>人，内容为</w:t>
      </w:r>
      <w:r>
        <w:rPr>
          <w:rFonts w:hint="eastAsia" w:eastAsia="仿宋_GB2312"/>
          <w:color w:val="auto"/>
          <w:sz w:val="32"/>
          <w:szCs w:val="32"/>
        </w:rPr>
        <w:t>全省农业农村信息工作会议</w:t>
      </w:r>
      <w:r>
        <w:rPr>
          <w:rFonts w:eastAsia="仿宋_GB2312"/>
          <w:color w:val="auto"/>
          <w:sz w:val="32"/>
          <w:szCs w:val="32"/>
        </w:rPr>
        <w:t>；培训费预算</w:t>
      </w:r>
      <w:r>
        <w:rPr>
          <w:rFonts w:hint="eastAsia" w:eastAsia="仿宋_GB2312"/>
          <w:color w:val="auto"/>
          <w:sz w:val="32"/>
          <w:szCs w:val="32"/>
        </w:rPr>
        <w:t>5</w:t>
      </w:r>
      <w:r>
        <w:rPr>
          <w:rFonts w:eastAsia="仿宋_GB2312"/>
          <w:color w:val="auto"/>
          <w:sz w:val="32"/>
          <w:szCs w:val="32"/>
        </w:rPr>
        <w:t>万元，拟开展</w:t>
      </w:r>
      <w:r>
        <w:rPr>
          <w:rFonts w:hint="eastAsia" w:eastAsia="仿宋_GB2312"/>
          <w:color w:val="auto"/>
          <w:sz w:val="32"/>
          <w:szCs w:val="32"/>
        </w:rPr>
        <w:t>1次</w:t>
      </w:r>
      <w:r>
        <w:rPr>
          <w:rFonts w:eastAsia="仿宋_GB2312"/>
          <w:color w:val="auto"/>
          <w:sz w:val="32"/>
          <w:szCs w:val="32"/>
        </w:rPr>
        <w:t>培训，人数</w:t>
      </w:r>
      <w:r>
        <w:rPr>
          <w:rFonts w:hint="eastAsia" w:eastAsia="仿宋_GB2312"/>
          <w:color w:val="auto"/>
          <w:sz w:val="32"/>
          <w:szCs w:val="32"/>
        </w:rPr>
        <w:t>150</w:t>
      </w:r>
      <w:r>
        <w:rPr>
          <w:rFonts w:eastAsia="仿宋_GB2312"/>
          <w:color w:val="auto"/>
          <w:sz w:val="32"/>
          <w:szCs w:val="32"/>
        </w:rPr>
        <w:t>人，内容为</w:t>
      </w:r>
      <w:r>
        <w:rPr>
          <w:rFonts w:hint="eastAsia" w:eastAsia="仿宋_GB2312"/>
          <w:color w:val="auto"/>
          <w:sz w:val="32"/>
          <w:szCs w:val="32"/>
        </w:rPr>
        <w:t>全省农业农村信息工作培训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（四）政府采购情况：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</w:rPr>
        <w:t>2</w:t>
      </w:r>
      <w:r>
        <w:rPr>
          <w:rFonts w:eastAsia="仿宋_GB2312"/>
          <w:color w:val="auto"/>
          <w:sz w:val="32"/>
          <w:szCs w:val="32"/>
        </w:rPr>
        <w:t xml:space="preserve">年本部门政府采购预算总额 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万元，其中，货物类采购预算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万元；工程类采购预算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万元；服务类采购预算</w:t>
      </w:r>
      <w:r>
        <w:rPr>
          <w:rFonts w:hint="eastAsia" w:eastAsia="仿宋_GB2312"/>
          <w:color w:val="auto"/>
          <w:sz w:val="32"/>
          <w:szCs w:val="32"/>
        </w:rPr>
        <w:t>0</w:t>
      </w:r>
      <w:r>
        <w:rPr>
          <w:rFonts w:eastAsia="仿宋_GB2312"/>
          <w:color w:val="auto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（五）国有资产占用使用及新增资产配置情况：</w:t>
      </w:r>
      <w:r>
        <w:rPr>
          <w:rFonts w:eastAsia="仿宋_GB2312"/>
          <w:color w:val="auto"/>
          <w:sz w:val="32"/>
          <w:szCs w:val="32"/>
        </w:rPr>
        <w:t>截至202</w:t>
      </w:r>
      <w:r>
        <w:rPr>
          <w:rFonts w:hint="eastAsia" w:eastAsia="仿宋_GB2312"/>
          <w:color w:val="auto"/>
          <w:sz w:val="32"/>
          <w:szCs w:val="32"/>
        </w:rPr>
        <w:t>1</w:t>
      </w:r>
      <w:r>
        <w:rPr>
          <w:rFonts w:eastAsia="仿宋_GB2312"/>
          <w:color w:val="auto"/>
          <w:sz w:val="32"/>
          <w:szCs w:val="32"/>
        </w:rPr>
        <w:t>年12月底，本单位</w:t>
      </w:r>
      <w:r>
        <w:rPr>
          <w:rFonts w:eastAsia="仿宋_GB2312"/>
          <w:bCs/>
          <w:color w:val="auto"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1</w:t>
      </w:r>
      <w:r>
        <w:rPr>
          <w:rFonts w:eastAsia="仿宋_GB2312"/>
          <w:bCs/>
          <w:color w:val="auto"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1</w:t>
      </w:r>
      <w:r>
        <w:rPr>
          <w:rFonts w:eastAsia="仿宋_GB2312"/>
          <w:bCs/>
          <w:color w:val="auto"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台。202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2</w:t>
      </w:r>
      <w:r>
        <w:rPr>
          <w:rFonts w:eastAsia="仿宋_GB2312"/>
          <w:bCs/>
          <w:color w:val="auto"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0</w:t>
      </w:r>
      <w:r>
        <w:rPr>
          <w:rFonts w:eastAsia="仿宋_GB2312"/>
          <w:bCs/>
          <w:color w:val="auto"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楷体_GB2312"/>
          <w:b/>
          <w:bCs/>
          <w:color w:val="auto"/>
          <w:kern w:val="0"/>
          <w:sz w:val="32"/>
          <w:szCs w:val="32"/>
        </w:rPr>
        <w:t>（六）预算绩效目标说明：</w:t>
      </w:r>
    </w:p>
    <w:p>
      <w:pPr>
        <w:widowControl/>
        <w:spacing w:line="600" w:lineRule="exact"/>
        <w:ind w:firstLine="660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七</w:t>
      </w:r>
      <w:r>
        <w:rPr>
          <w:rFonts w:eastAsia="黑体"/>
          <w:color w:val="auto"/>
          <w:sz w:val="32"/>
          <w:szCs w:val="32"/>
        </w:rPr>
        <w:t>、名词解释</w:t>
      </w:r>
      <w:r>
        <w:rPr>
          <w:rFonts w:eastAsia="仿宋_GB2312"/>
          <w:bCs/>
          <w:color w:val="auto"/>
          <w:kern w:val="0"/>
          <w:sz w:val="32"/>
          <w:szCs w:val="32"/>
        </w:rPr>
        <w:t>本单位所有支出实行绩效目标管理。纳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入</w:t>
      </w:r>
      <w:r>
        <w:rPr>
          <w:rFonts w:eastAsia="仿宋_GB2312"/>
          <w:bCs/>
          <w:color w:val="auto"/>
          <w:kern w:val="0"/>
          <w:sz w:val="32"/>
          <w:szCs w:val="32"/>
        </w:rPr>
        <w:t>202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2</w:t>
      </w:r>
      <w:r>
        <w:rPr>
          <w:rFonts w:eastAsia="仿宋_GB2312"/>
          <w:bCs/>
          <w:color w:val="auto"/>
          <w:kern w:val="0"/>
          <w:sz w:val="32"/>
          <w:szCs w:val="32"/>
        </w:rPr>
        <w:t>年单位整体支出绩效目标的金额为</w:t>
      </w:r>
      <w:r>
        <w:rPr>
          <w:rFonts w:eastAsia="仿宋_GB2312"/>
          <w:color w:val="auto"/>
          <w:sz w:val="32"/>
          <w:szCs w:val="32"/>
        </w:rPr>
        <w:t>1796.56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万</w:t>
      </w:r>
      <w:r>
        <w:rPr>
          <w:rFonts w:eastAsia="仿宋_GB2312"/>
          <w:bCs/>
          <w:color w:val="auto"/>
          <w:kern w:val="0"/>
          <w:sz w:val="32"/>
          <w:szCs w:val="32"/>
        </w:rPr>
        <w:t>元，其中，基本支出</w:t>
      </w:r>
      <w:r>
        <w:rPr>
          <w:rFonts w:eastAsia="仿宋_GB2312"/>
          <w:color w:val="auto"/>
          <w:sz w:val="32"/>
          <w:szCs w:val="32"/>
        </w:rPr>
        <w:t>218.32</w:t>
      </w:r>
      <w:r>
        <w:rPr>
          <w:rFonts w:eastAsia="仿宋_GB2312"/>
          <w:bCs/>
          <w:color w:val="auto"/>
          <w:kern w:val="0"/>
          <w:sz w:val="32"/>
          <w:szCs w:val="32"/>
        </w:rPr>
        <w:t>万元，项目支出</w:t>
      </w:r>
      <w:r>
        <w:rPr>
          <w:rFonts w:eastAsia="仿宋_GB2312"/>
          <w:color w:val="auto"/>
          <w:sz w:val="32"/>
          <w:szCs w:val="32"/>
        </w:rPr>
        <w:t>1578.24</w:t>
      </w:r>
      <w:r>
        <w:rPr>
          <w:rFonts w:eastAsia="仿宋_GB2312"/>
          <w:bCs/>
          <w:color w:val="auto"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1、机关运行经费：是指各</w:t>
      </w:r>
      <w:r>
        <w:rPr>
          <w:rFonts w:hint="eastAsia" w:eastAsia="仿宋_GB2312"/>
          <w:color w:val="auto"/>
          <w:sz w:val="32"/>
          <w:szCs w:val="32"/>
        </w:rPr>
        <w:t>单位</w:t>
      </w:r>
      <w:r>
        <w:rPr>
          <w:rFonts w:eastAsia="仿宋_GB2312"/>
          <w:color w:val="auto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jc w:val="left"/>
        <w:rPr>
          <w:rFonts w:eastAsia="黑体"/>
          <w:color w:val="auto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color w:val="auto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color w:val="auto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微软雅黑" w:hAnsi="微软雅黑" w:eastAsia="微软雅黑"/>
          <w:color w:val="auto"/>
          <w:sz w:val="44"/>
          <w:szCs w:val="44"/>
          <w:shd w:val="clear" w:color="auto" w:fill="FFFFFF"/>
        </w:rPr>
      </w:pPr>
    </w:p>
    <w:p>
      <w:pPr>
        <w:widowControl/>
        <w:spacing w:line="600" w:lineRule="exact"/>
        <w:jc w:val="center"/>
        <w:rPr>
          <w:rFonts w:ascii="微软雅黑" w:hAnsi="微软雅黑" w:eastAsia="微软雅黑"/>
          <w:color w:val="auto"/>
          <w:sz w:val="44"/>
          <w:szCs w:val="44"/>
          <w:shd w:val="clear" w:color="auto" w:fill="FFFFFF"/>
        </w:rPr>
      </w:pPr>
    </w:p>
    <w:p>
      <w:pPr>
        <w:widowControl/>
        <w:spacing w:line="600" w:lineRule="exact"/>
        <w:jc w:val="center"/>
        <w:rPr>
          <w:rFonts w:eastAsia="黑体"/>
          <w:color w:val="auto"/>
          <w:sz w:val="44"/>
          <w:szCs w:val="44"/>
        </w:rPr>
      </w:pPr>
      <w:r>
        <w:rPr>
          <w:rFonts w:hint="eastAsia" w:ascii="微软雅黑" w:hAnsi="微软雅黑" w:eastAsia="微软雅黑"/>
          <w:color w:val="auto"/>
          <w:sz w:val="44"/>
          <w:szCs w:val="44"/>
          <w:shd w:val="clear" w:color="auto" w:fill="FFFFFF"/>
        </w:rPr>
        <w:t xml:space="preserve">第二部分 </w:t>
      </w:r>
      <w:r>
        <w:rPr>
          <w:color w:val="auto"/>
          <w:sz w:val="44"/>
          <w:szCs w:val="44"/>
        </w:rPr>
        <w:t>202</w:t>
      </w:r>
      <w:r>
        <w:rPr>
          <w:rFonts w:hint="eastAsia"/>
          <w:color w:val="auto"/>
          <w:sz w:val="44"/>
          <w:szCs w:val="44"/>
        </w:rPr>
        <w:t>2</w:t>
      </w:r>
      <w:r>
        <w:rPr>
          <w:rFonts w:hint="eastAsia" w:ascii="微软雅黑" w:hAnsi="微软雅黑" w:eastAsia="微软雅黑"/>
          <w:color w:val="auto"/>
          <w:sz w:val="44"/>
          <w:szCs w:val="44"/>
          <w:shd w:val="clear" w:color="auto" w:fill="FFFFFF"/>
        </w:rPr>
        <w:t>年单位预算表</w:t>
      </w:r>
    </w:p>
    <w:p>
      <w:pPr>
        <w:jc w:val="center"/>
        <w:rPr>
          <w:color w:val="auto"/>
        </w:rPr>
      </w:pPr>
    </w:p>
    <w:p>
      <w:pPr>
        <w:jc w:val="center"/>
        <w:rPr>
          <w:color w:val="auto"/>
        </w:rPr>
      </w:pPr>
    </w:p>
    <w:p>
      <w:pPr>
        <w:jc w:val="center"/>
        <w:rPr>
          <w:b/>
          <w:color w:val="auto"/>
        </w:rPr>
      </w:pPr>
    </w:p>
    <w:p>
      <w:pPr>
        <w:widowControl/>
        <w:rPr>
          <w:color w:val="auto"/>
        </w:rPr>
      </w:pPr>
    </w:p>
    <w:p>
      <w:pPr>
        <w:widowControl/>
        <w:rPr>
          <w:color w:val="auto"/>
        </w:rPr>
      </w:pPr>
    </w:p>
    <w:p>
      <w:pPr>
        <w:widowControl/>
        <w:rPr>
          <w:color w:val="auto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</w:t>
      </w:r>
      <w:r>
        <w:rPr>
          <w:rFonts w:hint="eastAsia"/>
          <w:b/>
          <w:color w:val="auto"/>
          <w:sz w:val="32"/>
          <w:szCs w:val="32"/>
        </w:rPr>
        <w:t>（见附表）</w:t>
      </w: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  <w:sectPr>
          <w:pgSz w:w="16838" w:h="11906" w:orient="landscape"/>
          <w:pgMar w:top="851" w:right="1440" w:bottom="851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linePitch="312" w:charSpace="0"/>
        </w:sectPr>
      </w:pPr>
    </w:p>
    <w:tbl>
      <w:tblPr>
        <w:tblStyle w:val="6"/>
        <w:tblW w:w="138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456"/>
        <w:gridCol w:w="45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3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96"/>
                <w:szCs w:val="9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96"/>
                <w:szCs w:val="9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96"/>
                <w:szCs w:val="9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96"/>
                <w:szCs w:val="96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96"/>
                <w:szCs w:val="96"/>
                <w:u w:val="none"/>
                <w:lang w:val="en-US" w:eastAsia="zh-CN" w:bidi="ar"/>
              </w:rPr>
              <w:t xml:space="preserve"> 2022年省级部门预算公开表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594" w:type="dxa"/>
          <w:trHeight w:val="620" w:hRule="atLeast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tbl>
            <w:tblPr>
              <w:tblStyle w:val="6"/>
              <w:tblpPr w:leftFromText="180" w:rightFromText="180" w:vertAnchor="text" w:horzAnchor="page" w:tblpX="3059" w:tblpY="-235"/>
              <w:tblOverlap w:val="never"/>
              <w:tblW w:w="8436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37"/>
              <w:gridCol w:w="1679"/>
              <w:gridCol w:w="2905"/>
              <w:gridCol w:w="240"/>
              <w:gridCol w:w="735"/>
              <w:gridCol w:w="84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0" w:hRule="atLeast"/>
              </w:trPr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  <w:lang w:val="en-US" w:eastAsia="zh-CN"/>
                    </w:rPr>
                    <w:t xml:space="preserve">    </w:t>
                  </w: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ascii="黑体" w:hAnsi="宋体" w:eastAsia="黑体" w:cs="黑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  <w:r>
                    <w:rPr>
                      <w:rFonts w:hint="eastAsia" w:ascii="黑体" w:hAnsi="宋体" w:eastAsia="黑体" w:cs="黑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单位代码：</w:t>
                  </w:r>
                </w:p>
              </w:tc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2580</w:t>
                  </w:r>
                  <w:r>
                    <w:rPr>
                      <w:rFonts w:hint="eastAsia" w:ascii="宋体" w:hAnsi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00" w:hRule="atLeast"/>
              </w:trPr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黑体" w:hAnsi="宋体" w:eastAsia="黑体" w:cs="黑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  <w:r>
                    <w:rPr>
                      <w:rFonts w:hint="eastAsia" w:ascii="黑体" w:hAnsi="宋体" w:eastAsia="黑体" w:cs="黑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单位名称：</w:t>
                  </w:r>
                </w:p>
              </w:tc>
              <w:tc>
                <w:tcPr>
                  <w:tcW w:w="47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湖南省农业</w:t>
                  </w:r>
                  <w:r>
                    <w:rPr>
                      <w:rFonts w:hint="eastAsia" w:ascii="宋体" w:hAnsi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农村信息</w:t>
                  </w: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 xml:space="preserve">中心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20" w:hRule="atLeast"/>
              </w:trPr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黑体" w:hAnsi="宋体" w:eastAsia="黑体" w:cs="黑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  <w:r>
                    <w:rPr>
                      <w:rFonts w:hint="eastAsia" w:ascii="黑体" w:hAnsi="宋体" w:eastAsia="黑体" w:cs="黑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联系电话：</w:t>
                  </w:r>
                </w:p>
              </w:tc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bottom"/>
                </w:tcPr>
                <w:p>
                  <w:pPr>
                    <w:rPr>
                      <w:rFonts w:hint="eastAsia" w:ascii="Calibri" w:hAnsi="Calibri" w:cs="Calibri"/>
                      <w:i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594" w:type="dxa"/>
          <w:trHeight w:val="600" w:hRule="atLeast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p>
      <w:pPr>
        <w:widowControl/>
        <w:jc w:val="center"/>
        <w:rPr>
          <w:rFonts w:hint="eastAsia"/>
          <w:b/>
          <w:color w:val="auto"/>
          <w:sz w:val="32"/>
          <w:szCs w:val="32"/>
        </w:rPr>
        <w:sectPr>
          <w:pgSz w:w="16838" w:h="11906" w:orient="landscape"/>
          <w:pgMar w:top="851" w:right="1440" w:bottom="851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linePitch="312" w:charSpace="0"/>
        </w:sect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</w:pPr>
    </w:p>
    <w:p>
      <w:pPr>
        <w:widowControl/>
        <w:jc w:val="center"/>
        <w:rPr>
          <w:rFonts w:hint="eastAsia"/>
          <w:b/>
          <w:color w:val="auto"/>
          <w:sz w:val="32"/>
          <w:szCs w:val="32"/>
        </w:rPr>
        <w:sectPr>
          <w:pgSz w:w="16838" w:h="11906" w:orient="landscape"/>
          <w:pgMar w:top="851" w:right="1440" w:bottom="851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linePitch="312" w:charSpace="0"/>
        </w:sectPr>
      </w:pPr>
      <w:r>
        <w:rPr>
          <w:color w:val="auto"/>
        </w:rPr>
        <w:drawing>
          <wp:inline distT="0" distB="0" distL="114300" distR="114300">
            <wp:extent cx="8855710" cy="3230880"/>
            <wp:effectExtent l="0" t="0" r="8890" b="762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571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31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1"/>
        <w:gridCol w:w="7049"/>
        <w:gridCol w:w="580"/>
        <w:gridCol w:w="1280"/>
        <w:gridCol w:w="7800"/>
        <w:gridCol w:w="5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  <w:drawing>
                <wp:inline distT="0" distB="0" distL="0" distR="0">
                  <wp:extent cx="8801100" cy="5314950"/>
                  <wp:effectExtent l="19050" t="0" r="0" b="0"/>
                  <wp:docPr id="44" name="图片 34" descr="C:\Users\ADMINI~1\AppData\Local\Temp\1644911659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4" descr="C:\Users\ADMINI~1\AppData\Local\Temp\1644911659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006" cy="5317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  <w:drawing>
                <wp:inline distT="0" distB="0" distL="0" distR="0">
                  <wp:extent cx="8867140" cy="2005330"/>
                  <wp:effectExtent l="19050" t="0" r="0" b="0"/>
                  <wp:docPr id="45" name="图片 35" descr="C:\Users\ADMINI~1\AppData\Local\Temp\1644911829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5" descr="C:\Users\ADMINI~1\AppData\Local\Temp\1644911829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7550" cy="2008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</w:tbl>
    <w:p>
      <w:pPr>
        <w:widowControl/>
        <w:jc w:val="center"/>
        <w:rPr>
          <w:color w:val="auto"/>
        </w:rPr>
      </w:pPr>
      <w:r>
        <w:rPr>
          <w:color w:val="auto"/>
        </w:rPr>
        <w:br w:type="page"/>
      </w:r>
      <w:r>
        <w:rPr>
          <w:color w:val="auto"/>
        </w:rPr>
        <w:drawing>
          <wp:inline distT="0" distB="0" distL="0" distR="0">
            <wp:extent cx="8848725" cy="5105400"/>
            <wp:effectExtent l="19050" t="0" r="9525" b="0"/>
            <wp:docPr id="49" name="图片 38" descr="C:\Users\ADMINI~1\AppData\Local\Temp\164491222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8" descr="C:\Users\ADMINI~1\AppData\Local\Temp\1644912227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4872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642235"/>
            <wp:effectExtent l="19050" t="0" r="0" b="0"/>
            <wp:docPr id="47" name="图片 37" descr="C:\Users\ADMINI~1\AppData\Local\Temp\1644912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 descr="C:\Users\ADMINI~1\AppData\Local\Temp\16449121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42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31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6"/>
        <w:gridCol w:w="7049"/>
        <w:gridCol w:w="580"/>
        <w:gridCol w:w="1280"/>
        <w:gridCol w:w="7800"/>
        <w:gridCol w:w="5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</w:p>
        </w:tc>
      </w:tr>
    </w:tbl>
    <w:p>
      <w:pPr>
        <w:jc w:val="left"/>
        <w:rPr>
          <w:color w:val="auto"/>
        </w:rPr>
        <w:sectPr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AndChars" w:linePitch="312" w:charSpace="0"/>
        </w:sectPr>
      </w:pPr>
      <w:r>
        <w:rPr>
          <w:color w:val="auto"/>
        </w:rPr>
        <w:drawing>
          <wp:inline distT="0" distB="0" distL="0" distR="0">
            <wp:extent cx="8863330" cy="2900680"/>
            <wp:effectExtent l="19050" t="0" r="0" b="0"/>
            <wp:docPr id="50" name="图片 39" descr="C:\Users\ADMINI~1\AppData\Local\Temp\1644912286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9" descr="C:\Users\ADMINI~1\AppData\Local\Temp\1644912286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900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7048500" cy="5257800"/>
            <wp:effectExtent l="19050" t="0" r="0" b="0"/>
            <wp:docPr id="52" name="图片 41" descr="C:\Users\ADMINI~1\AppData\Local\Temp\164491241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1" descr="C:\Users\ADMINI~1\AppData\Local\Temp\1644912411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965" cy="5067300"/>
            <wp:effectExtent l="19050" t="0" r="0" b="0"/>
            <wp:docPr id="53" name="图片 42" descr="C:\Users\ADMINI~1\AppData\Local\Temp\164491246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2" descr="C:\Users\ADMINI~1\AppData\Local\Temp\1644912460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5066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  <w:r>
        <w:rPr>
          <w:color w:val="auto"/>
        </w:rPr>
        <w:drawing>
          <wp:inline distT="0" distB="0" distL="0" distR="0">
            <wp:extent cx="8863330" cy="2747645"/>
            <wp:effectExtent l="19050" t="0" r="0" b="0"/>
            <wp:docPr id="54" name="图片 43" descr="C:\Users\ADMINI~1\AppData\Local\Temp\16449125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3" descr="C:\Users\ADMINI~1\AppData\Local\Temp\1644912501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74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bookmarkStart w:id="0" w:name="RANGE!A1:S21"/>
      <w:bookmarkEnd w:id="0"/>
      <w:r>
        <w:rPr>
          <w:color w:val="auto"/>
        </w:rPr>
        <w:drawing>
          <wp:inline distT="0" distB="0" distL="0" distR="0">
            <wp:extent cx="8863330" cy="2172335"/>
            <wp:effectExtent l="19050" t="0" r="0" b="0"/>
            <wp:docPr id="55" name="图片 44" descr="C:\Users\ADMINI~1\AppData\Local\Temp\1644912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4" descr="C:\Users\ADMINI~1\AppData\Local\Temp\164491253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17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823845"/>
            <wp:effectExtent l="19050" t="0" r="0" b="0"/>
            <wp:docPr id="56" name="图片 45" descr="C:\Users\ADMINI~1\AppData\Local\Temp\164491270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5" descr="C:\Users\ADMINI~1\AppData\Local\Temp\1644912700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824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566035"/>
            <wp:effectExtent l="19050" t="0" r="0" b="0"/>
            <wp:docPr id="57" name="图片 46" descr="C:\Users\ADMINI~1\AppData\Local\Temp\164491273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6" descr="C:\Users\ADMINI~1\AppData\Local\Temp\1644912737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566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418080"/>
            <wp:effectExtent l="19050" t="0" r="0" b="0"/>
            <wp:docPr id="58" name="图片 47" descr="C:\Users\ADMINI~1\AppData\Local\Temp\1644912778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7" descr="C:\Users\ADMINI~1\AppData\Local\Temp\1644912778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41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1856740"/>
            <wp:effectExtent l="19050" t="0" r="0" b="0"/>
            <wp:docPr id="59" name="图片 48" descr="C:\Users\ADMINI~1\AppData\Local\Temp\164491282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8" descr="C:\Users\ADMINI~1\AppData\Local\Temp\1644912823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8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661285"/>
            <wp:effectExtent l="19050" t="0" r="0" b="0"/>
            <wp:docPr id="60" name="图片 49" descr="C:\Users\ADMINI~1\AppData\Local\Temp\164491285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9" descr="C:\Users\ADMINI~1\AppData\Local\Temp\1644912853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61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302510"/>
            <wp:effectExtent l="19050" t="0" r="0" b="0"/>
            <wp:docPr id="61" name="图片 50" descr="C:\Users\ADMINI~1\AppData\Local\Temp\1644912908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0" descr="C:\Users\ADMINI~1\AppData\Local\Temp\1644912908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30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9" w:line="194" w:lineRule="auto"/>
        <w:ind w:firstLine="432" w:firstLineChars="200"/>
        <w:rPr>
          <w:rFonts w:ascii="宋体" w:hAnsi="宋体" w:eastAsia="宋体" w:cs="宋体"/>
          <w:color w:val="auto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widowControl/>
        <w:jc w:val="left"/>
        <w:rPr>
          <w:color w:val="auto"/>
        </w:rPr>
      </w:pP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1233170"/>
            <wp:effectExtent l="19050" t="0" r="0" b="0"/>
            <wp:docPr id="62" name="图片 51" descr="C:\Users\ADMINI~1\AppData\Local\Temp\164491296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1" descr="C:\Users\ADMINI~1\AppData\Local\Temp\1644912960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23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9" w:line="194" w:lineRule="auto"/>
        <w:ind w:firstLine="432" w:firstLineChars="200"/>
        <w:rPr>
          <w:rFonts w:ascii="宋体" w:hAnsi="宋体" w:eastAsia="宋体" w:cs="宋体"/>
          <w:color w:val="auto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1603375"/>
            <wp:effectExtent l="19050" t="0" r="0" b="0"/>
            <wp:docPr id="63" name="图片 52" descr="C:\Users\ADMINI~1\AppData\Local\Temp\1644912989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2" descr="C:\Users\ADMINI~1\AppData\Local\Temp\1644912989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60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9" w:line="194" w:lineRule="auto"/>
        <w:ind w:firstLine="432" w:firstLineChars="200"/>
        <w:rPr>
          <w:rFonts w:ascii="宋体" w:hAnsi="宋体" w:eastAsia="宋体" w:cs="宋体"/>
          <w:color w:val="auto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332990"/>
            <wp:effectExtent l="19050" t="0" r="0" b="0"/>
            <wp:docPr id="64" name="图片 53" descr="C:\Users\ADMINI~1\AppData\Local\Temp\1644913015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3" descr="C:\Users\ADMINI~1\AppData\Local\Temp\1644913015(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33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9" w:line="194" w:lineRule="auto"/>
        <w:ind w:firstLine="432" w:firstLineChars="200"/>
        <w:rPr>
          <w:color w:val="auto"/>
          <w:sz w:val="2"/>
          <w:lang w:eastAsia="zh-CN"/>
        </w:rPr>
      </w:pP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注：本单位无国有资本经营预算支出，故此表无数据。</w:t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  <w:r>
        <w:rPr>
          <w:color w:val="auto"/>
        </w:rPr>
        <w:drawing>
          <wp:inline distT="0" distB="0" distL="0" distR="0">
            <wp:extent cx="8863330" cy="2615565"/>
            <wp:effectExtent l="19050" t="0" r="0" b="0"/>
            <wp:docPr id="65" name="图片 54" descr="C:\Users\ADMINI~1\AppData\Local\Temp\1644913038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4" descr="C:\Users\ADMINI~1\AppData\Local\Temp\1644913038(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1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9" w:line="194" w:lineRule="auto"/>
        <w:rPr>
          <w:rFonts w:ascii="宋体" w:hAnsi="宋体" w:eastAsia="宋体" w:cs="宋体"/>
          <w:color w:val="auto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注：本单位无财</w:t>
      </w: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val="en-US" w:eastAsia="zh-CN"/>
        </w:rPr>
        <w:t>政</w:t>
      </w:r>
      <w:r>
        <w:rPr>
          <w:rFonts w:hint="eastAsia" w:ascii="宋体" w:hAnsi="宋体" w:eastAsia="宋体" w:cs="宋体"/>
          <w:color w:val="auto"/>
          <w:spacing w:val="13"/>
          <w:sz w:val="19"/>
          <w:szCs w:val="19"/>
          <w:lang w:eastAsia="zh-CN"/>
        </w:rPr>
        <w:t>专户管理资金预算支出，故此表无数据。</w:t>
      </w:r>
    </w:p>
    <w:p>
      <w:pPr>
        <w:widowControl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widowControl/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3276600"/>
            <wp:effectExtent l="19050" t="0" r="0" b="0"/>
            <wp:docPr id="1" name="图片 1" descr="C:\Users\ADMINI~1\AppData\Local\Temp\164577398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645773984(1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276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8153400" cy="21971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1534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auto"/>
        </w:rPr>
      </w:pPr>
      <w:r>
        <w:rPr>
          <w:rFonts w:hint="eastAsia"/>
          <w:color w:val="auto"/>
        </w:rPr>
        <w:t>注：部门预算中不包括对市县专项转移支付。</w:t>
      </w:r>
    </w:p>
    <w:p>
      <w:pPr>
        <w:widowControl/>
        <w:jc w:val="left"/>
        <w:rPr>
          <w:color w:val="auto"/>
        </w:rPr>
      </w:pPr>
    </w:p>
    <w:p>
      <w:pPr>
        <w:widowControl/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8863330" cy="2849880"/>
            <wp:effectExtent l="19050" t="0" r="0" b="0"/>
            <wp:docPr id="7" name="图片 3" descr="C:\Users\ADMINI~1\AppData\Local\Temp\164577354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C:\Users\ADMINI~1\AppData\Local\Temp\1645773544(1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84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br w:type="page"/>
      </w:r>
      <w:r>
        <w:rPr>
          <w:color w:val="auto"/>
        </w:rPr>
        <w:drawing>
          <wp:inline distT="0" distB="0" distL="0" distR="0">
            <wp:extent cx="8863330" cy="3074670"/>
            <wp:effectExtent l="19050" t="0" r="0" b="0"/>
            <wp:docPr id="2" name="图片 1" descr="C:\Users\ADMINI~1\AppData\Local\Temp\164577470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~1\AppData\Local\Temp\1645774700(1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074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97" w:right="1440" w:bottom="1797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CCF"/>
    <w:rsid w:val="000469D8"/>
    <w:rsid w:val="000C354B"/>
    <w:rsid w:val="000F30D3"/>
    <w:rsid w:val="00105D8C"/>
    <w:rsid w:val="00122140"/>
    <w:rsid w:val="001A1952"/>
    <w:rsid w:val="001C1249"/>
    <w:rsid w:val="001F69D2"/>
    <w:rsid w:val="002067FA"/>
    <w:rsid w:val="00223B34"/>
    <w:rsid w:val="0023416C"/>
    <w:rsid w:val="00242CE3"/>
    <w:rsid w:val="00244105"/>
    <w:rsid w:val="00253F46"/>
    <w:rsid w:val="00266600"/>
    <w:rsid w:val="00276B4A"/>
    <w:rsid w:val="0029782E"/>
    <w:rsid w:val="002C7B75"/>
    <w:rsid w:val="002D49B8"/>
    <w:rsid w:val="002F256E"/>
    <w:rsid w:val="00390BC3"/>
    <w:rsid w:val="00391418"/>
    <w:rsid w:val="0039206B"/>
    <w:rsid w:val="003B13AC"/>
    <w:rsid w:val="004034BC"/>
    <w:rsid w:val="0042534C"/>
    <w:rsid w:val="00436EC0"/>
    <w:rsid w:val="004429E4"/>
    <w:rsid w:val="004554D6"/>
    <w:rsid w:val="004621B9"/>
    <w:rsid w:val="00475D8C"/>
    <w:rsid w:val="004F636E"/>
    <w:rsid w:val="00505CD3"/>
    <w:rsid w:val="0050742C"/>
    <w:rsid w:val="00532D6A"/>
    <w:rsid w:val="0055151D"/>
    <w:rsid w:val="00566CB6"/>
    <w:rsid w:val="00577711"/>
    <w:rsid w:val="005D0918"/>
    <w:rsid w:val="00642A37"/>
    <w:rsid w:val="00643FB5"/>
    <w:rsid w:val="0068265A"/>
    <w:rsid w:val="00684516"/>
    <w:rsid w:val="00685D2F"/>
    <w:rsid w:val="00695139"/>
    <w:rsid w:val="006B4FAE"/>
    <w:rsid w:val="006B6A58"/>
    <w:rsid w:val="006C1D07"/>
    <w:rsid w:val="006C5364"/>
    <w:rsid w:val="006C5816"/>
    <w:rsid w:val="006E0246"/>
    <w:rsid w:val="006E11D2"/>
    <w:rsid w:val="006E1BD3"/>
    <w:rsid w:val="006F1758"/>
    <w:rsid w:val="0070362E"/>
    <w:rsid w:val="007232E4"/>
    <w:rsid w:val="00724842"/>
    <w:rsid w:val="007256AA"/>
    <w:rsid w:val="00727BF3"/>
    <w:rsid w:val="00735E48"/>
    <w:rsid w:val="007554E3"/>
    <w:rsid w:val="00781F3E"/>
    <w:rsid w:val="007E0948"/>
    <w:rsid w:val="00806076"/>
    <w:rsid w:val="00813871"/>
    <w:rsid w:val="008344CC"/>
    <w:rsid w:val="008427A1"/>
    <w:rsid w:val="00892467"/>
    <w:rsid w:val="008A1F85"/>
    <w:rsid w:val="008E24CC"/>
    <w:rsid w:val="00921CF9"/>
    <w:rsid w:val="00931A73"/>
    <w:rsid w:val="009470E7"/>
    <w:rsid w:val="009602DF"/>
    <w:rsid w:val="00963AED"/>
    <w:rsid w:val="00966D75"/>
    <w:rsid w:val="009B4CF8"/>
    <w:rsid w:val="009D4A05"/>
    <w:rsid w:val="009D7096"/>
    <w:rsid w:val="009F3D26"/>
    <w:rsid w:val="00A87314"/>
    <w:rsid w:val="00AC1D26"/>
    <w:rsid w:val="00AC7156"/>
    <w:rsid w:val="00AD0F47"/>
    <w:rsid w:val="00B2682F"/>
    <w:rsid w:val="00B361CF"/>
    <w:rsid w:val="00B5419C"/>
    <w:rsid w:val="00B74FD7"/>
    <w:rsid w:val="00BB1D04"/>
    <w:rsid w:val="00BF2E31"/>
    <w:rsid w:val="00BF6047"/>
    <w:rsid w:val="00C04795"/>
    <w:rsid w:val="00C16C26"/>
    <w:rsid w:val="00C23E8A"/>
    <w:rsid w:val="00C527D7"/>
    <w:rsid w:val="00C73492"/>
    <w:rsid w:val="00C93AE9"/>
    <w:rsid w:val="00C959C7"/>
    <w:rsid w:val="00CA6661"/>
    <w:rsid w:val="00CA760C"/>
    <w:rsid w:val="00CB5C7C"/>
    <w:rsid w:val="00CE071A"/>
    <w:rsid w:val="00CF2768"/>
    <w:rsid w:val="00D56A49"/>
    <w:rsid w:val="00D67007"/>
    <w:rsid w:val="00D94267"/>
    <w:rsid w:val="00E06064"/>
    <w:rsid w:val="00E31969"/>
    <w:rsid w:val="00E53CCF"/>
    <w:rsid w:val="00E54AAA"/>
    <w:rsid w:val="00E72D84"/>
    <w:rsid w:val="00E83249"/>
    <w:rsid w:val="00E9329B"/>
    <w:rsid w:val="00EA0FC7"/>
    <w:rsid w:val="00EB6BB6"/>
    <w:rsid w:val="00ED19FE"/>
    <w:rsid w:val="00F33C5E"/>
    <w:rsid w:val="00F65373"/>
    <w:rsid w:val="00F71063"/>
    <w:rsid w:val="00F812FF"/>
    <w:rsid w:val="00FC7B9E"/>
    <w:rsid w:val="165F3FA0"/>
    <w:rsid w:val="2A48410E"/>
    <w:rsid w:val="3D973AF2"/>
    <w:rsid w:val="6900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277AD5-3968-44E6-B93C-E3F7C08D77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472</Words>
  <Characters>2694</Characters>
  <Lines>22</Lines>
  <Paragraphs>6</Paragraphs>
  <TotalTime>0</TotalTime>
  <ScaleCrop>false</ScaleCrop>
  <LinksUpToDate>false</LinksUpToDate>
  <CharactersWithSpaces>3160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2022-02-24T08:31:00Z</dcterms:created>
  <dc:creator>Administrator</dc:creator>
  <cp:lastModifiedBy>ok</cp:lastModifiedBy>
  <dcterms:modified xsi:type="dcterms:W3CDTF">2023-09-26T02:01:52Z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